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Министар просвете, науке и технолошког развоја доноси</w:t>
      </w:r>
    </w:p>
    <w:p w:rsidR="009D226B" w:rsidRPr="009D226B" w:rsidRDefault="009D226B" w:rsidP="009D226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ПРАВИЛНИК</w:t>
      </w:r>
    </w:p>
    <w:p w:rsidR="009D226B" w:rsidRPr="009D226B" w:rsidRDefault="009D226B" w:rsidP="009D226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 оцењивању ученика у основном образовању и васпитању</w:t>
      </w:r>
    </w:p>
    <w:p w:rsidR="009D226B" w:rsidRPr="009D226B" w:rsidRDefault="009D226B" w:rsidP="009D226B">
      <w:pPr>
        <w:pStyle w:val="centar"/>
        <w:shd w:val="clear" w:color="auto" w:fill="FFFFFF"/>
        <w:spacing w:before="225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"Службени гласник РС", број 34 од 17. маја 2019.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Предмет Правилника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Сврха и принципи оцењивања ученика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2.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</w:t>
      </w:r>
      <w:bookmarkStart w:id="0" w:name="_GoBack"/>
      <w:bookmarkEnd w:id="0"/>
      <w:r w:rsidRPr="009D226B">
        <w:rPr>
          <w:color w:val="333333"/>
        </w:rPr>
        <w:t>владавању индивидуалног образовног плана.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Принципи оцењивања, у смислу овог правилника, јесу: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1) објективност у оцењивању према утврђеним критеријумима;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2) релевантност оцењивања;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3) коришћење разноврсних техника и метода оцењивања;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4) правичност у оцењивању;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5) редовност и благовременост у оцењивању;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6) оцењивање без дискриминације и издвајања по било ком основу;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Формативно и сумативно оцењивање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3.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Оцена ученика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4.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је описна и бројчана.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5.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Ученик, његов родитељ, други законски заступник има право да поднесе приговор у складу са Законом.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Бројчана оцена ученика обавезног предмета и изборног програма други страни језик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6.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Оцену одличан (5) добија ученик који: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у потпуности показује способност трансформације знања и примене у новим ситуацијама;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лако лoгички пoвeзуje чињeницe и пojмoвe;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самостално изводи закључке који се заснивају на подацима;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решава проблеме на нивоу стваралачког мишљења и у потпуности критички рaсуђуje;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показује изузетну самосталност уз изузетно висок степен активности и ангажовања.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Оцену врло добар (4) добија ученик који: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− у великој мери показује способност примене знања и лoгички пoвeзуje чињeницe и пojмoвe;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самостално изводи закључке који се заснивају на подацима;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решава поједине проблеме на нивоу стваралачког мишљења и у знатној мери критички рaсуђуje;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показује велику самосталност и висок степен активности и ангажовања.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Оцену добар (3) добија ученик који: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у довољној мери показује способност употребе информација у новим ситуацијама;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у знатној мери лoгички пoвeзуje чињeницe и пojмoвe;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у довољној мери критички рaсуђуje;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показује делимични степен активности и ангажовања.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Оцену довољан (2) добија ученик који: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знања која је остварио су на нивоу репродукције, уз минималну примену;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понекад је самосталан у решавању проблема и у недовољној мери критички рaсуђуje;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показује мањи степен активности и ангажовања.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Недовољан (1) добија ученик који: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знања која је остварио нису ни на нивоу препознавања и не показује способност репродукције и примене;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не изводи закључке који се заснивају на подацима;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критички не рaсуђуje;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− не показује интересовање за учешће у активностима нити ангажовање.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Закључна оцена обавезног предмета, изборног програма и активности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7.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из обавезног предмета за ученика од другог до осмог разреда је бројчана.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 xml:space="preserve"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</w:t>
      </w:r>
      <w:r w:rsidRPr="009D226B">
        <w:rPr>
          <w:color w:val="333333"/>
        </w:rPr>
        <w:lastRenderedPageBreak/>
        <w:t>изборног програма други страни језик који се оцењује бројчано и закључна оцена утиче на општи успех ученика.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Када предмет садржи модуле, закључна оцена се изводи на основу позитивних оцена свих модула у оквиру предмета.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1) одличан (5), ако је аритметичка средина свих појединачних оцена најмање 4,50;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2) врло добар (4), ако је аритметичка средина свих појединачних оцена од 3,50 до 4,49;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3) добар (3), ако је аритметичка средина свих појединачних оцена од 2,50 до 3,49;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4) довољан (2), ако је аритметичка средина свих појединачних оцена од 1,50 до 2,49.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Утврђена оцена из става 12. овог члана евидентира се у напомени, а у записнику одељењског већа шире се образлаже.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утврђена на одељењском већу уписује се у дневник у предвиђену рубрику.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Ученик, његов родитељ, други законски заступник има право да поднесе приговор у складу са Законом.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Оцењивање ученика који остварују додатну подршку у образовању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8.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Иницијално процењивање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9.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Начин и поступак оцењивања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10.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Распоред писмених задатака и писмених провера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11.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Распоредом може да се планира највише једна провера у дану, а две у наставној недељи.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Распоред утврђује директор на предлог одељењског већа.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lastRenderedPageBreak/>
        <w:t>Писмене провере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12.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Провера постигнућа ученика обавља се на сваком часу.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из писмене провере постигнућа у трајању до 15 минута се не уписују у дневник.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у току часа може да буде само једанпут оцењен за усмену или писмену проверу постигнућа.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са писмене провере може бити поништена и ученику који није задовољан оценом.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Писмена провера из става 8. овог члана понавља се једанпут и може да буде организована на посебном часу.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Оцењивање владања ученика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13.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Владање се оцењује најмање два пута у току полугодишта.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Владање одраслих не оцењује се.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Приликом оцењивања владања сагледава се понашање ученика у целини.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Ученик, његов родитељ, други законски заступник има право да поднесе приговор у складу са Законом.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Описна оцена из владања у току полугодишта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14.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из става 1. овог члана садржи и васпитну препоруку.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Опис односа према обавезама јесте: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1) у потпуности извршава обавезе у школи;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2) углавном извршава обавезе у школи;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3) делимично извршава обавезе у школи;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4) углавном не извршава обавезе;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5) не извршава обавезе у школи.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Опис понашања према другим ученицима, запосленима и имовини јесте: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1) представља пример другима својим односом према ученицима, запосленима и имовини;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2) има најчешће коректан однос према ученицима, запосленима и имовини;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3) понекад се непримерено односи према ученицима, запосленима и имовини;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4) често има непримерен однос према ученицима, запосленима и имовини;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5) најчешће има непримерен однос према ученицима, запосленима и имовини.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Закључна оцена из владања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15.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Закључну оцену из владања, на предлог одељењског старешине, утврђује одељењско веће.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1) школским обавезама;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2) другим ученицима;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3) запосленима школе и других организација у којима се остварује образовно-васпитни рад;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Оцењивање на испиту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16.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Оцена на испиту утврђује се већином гласова укупног броја чланова комисије, у складу са законом.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Обавештавање о оцењивању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17.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Евиденција о успеху ученика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18.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9D226B" w:rsidRPr="009D226B" w:rsidRDefault="009D226B" w:rsidP="009D226B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b/>
          <w:bCs/>
          <w:color w:val="333333"/>
        </w:rPr>
      </w:pPr>
      <w:r w:rsidRPr="009D226B">
        <w:rPr>
          <w:b/>
          <w:bCs/>
          <w:color w:val="333333"/>
        </w:rPr>
        <w:t>Завршне одредбе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19.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lastRenderedPageBreak/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 w:rsidR="009D226B" w:rsidRPr="009D226B" w:rsidRDefault="009D226B" w:rsidP="009D226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</w:rPr>
      </w:pPr>
      <w:r w:rsidRPr="009D226B">
        <w:rPr>
          <w:color w:val="333333"/>
        </w:rPr>
        <w:t>Члан 20.</w:t>
      </w:r>
    </w:p>
    <w:p w:rsidR="009D226B" w:rsidRPr="009D226B" w:rsidRDefault="009D226B" w:rsidP="009D226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9D226B">
        <w:rPr>
          <w:color w:val="333333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9D226B" w:rsidRPr="009D226B" w:rsidRDefault="009D226B" w:rsidP="009D226B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color w:val="333333"/>
        </w:rPr>
      </w:pPr>
      <w:r w:rsidRPr="009D226B">
        <w:rPr>
          <w:color w:val="333333"/>
        </w:rPr>
        <w:t>Број 110-00-106/2019-07</w:t>
      </w:r>
    </w:p>
    <w:p w:rsidR="009D226B" w:rsidRPr="009D226B" w:rsidRDefault="009D226B" w:rsidP="009D226B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color w:val="333333"/>
        </w:rPr>
      </w:pPr>
      <w:r w:rsidRPr="009D226B">
        <w:rPr>
          <w:color w:val="333333"/>
        </w:rPr>
        <w:t>У Београду, 25. априла 2019. године</w:t>
      </w:r>
    </w:p>
    <w:p w:rsidR="009D226B" w:rsidRPr="009D226B" w:rsidRDefault="009D226B" w:rsidP="009D226B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color w:val="333333"/>
        </w:rPr>
      </w:pPr>
      <w:r w:rsidRPr="009D226B">
        <w:rPr>
          <w:color w:val="333333"/>
        </w:rPr>
        <w:t>Министар,</w:t>
      </w:r>
    </w:p>
    <w:p w:rsidR="009D226B" w:rsidRPr="009D226B" w:rsidRDefault="009D226B" w:rsidP="009D226B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color w:val="333333"/>
        </w:rPr>
      </w:pPr>
      <w:r w:rsidRPr="009D226B">
        <w:rPr>
          <w:rStyle w:val="bold1"/>
          <w:b/>
          <w:bCs/>
          <w:color w:val="333333"/>
        </w:rPr>
        <w:t>Младен Шарчевић, </w:t>
      </w:r>
      <w:r w:rsidRPr="009D226B">
        <w:rPr>
          <w:color w:val="333333"/>
        </w:rPr>
        <w:t>с.р</w:t>
      </w:r>
    </w:p>
    <w:p w:rsidR="00F9104F" w:rsidRPr="009D226B" w:rsidRDefault="00F9104F"/>
    <w:sectPr w:rsidR="00F9104F" w:rsidRPr="009D226B" w:rsidSect="009D2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B"/>
    <w:rsid w:val="009D226B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9D226B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9D226B"/>
    <w:pPr>
      <w:spacing w:before="100" w:beforeAutospacing="1" w:after="100" w:afterAutospacing="1"/>
    </w:pPr>
  </w:style>
  <w:style w:type="paragraph" w:customStyle="1" w:styleId="centar">
    <w:name w:val="centar"/>
    <w:basedOn w:val="Normal"/>
    <w:rsid w:val="009D226B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9D226B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9D226B"/>
    <w:pPr>
      <w:spacing w:before="100" w:beforeAutospacing="1" w:after="100" w:afterAutospacing="1"/>
    </w:pPr>
  </w:style>
  <w:style w:type="paragraph" w:customStyle="1" w:styleId="potpis">
    <w:name w:val="potpis"/>
    <w:basedOn w:val="Normal"/>
    <w:rsid w:val="009D226B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9D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9D226B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9D226B"/>
    <w:pPr>
      <w:spacing w:before="100" w:beforeAutospacing="1" w:after="100" w:afterAutospacing="1"/>
    </w:pPr>
  </w:style>
  <w:style w:type="paragraph" w:customStyle="1" w:styleId="centar">
    <w:name w:val="centar"/>
    <w:basedOn w:val="Normal"/>
    <w:rsid w:val="009D226B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9D226B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9D226B"/>
    <w:pPr>
      <w:spacing w:before="100" w:beforeAutospacing="1" w:after="100" w:afterAutospacing="1"/>
    </w:pPr>
  </w:style>
  <w:style w:type="paragraph" w:customStyle="1" w:styleId="potpis">
    <w:name w:val="potpis"/>
    <w:basedOn w:val="Normal"/>
    <w:rsid w:val="009D226B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9D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3415</Words>
  <Characters>20048</Characters>
  <Application>Microsoft Office Word</Application>
  <DocSecurity>0</DocSecurity>
  <Lines>167</Lines>
  <Paragraphs>46</Paragraphs>
  <ScaleCrop>false</ScaleCrop>
  <Company>Hewlett-Packard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</dc:creator>
  <cp:lastModifiedBy>CAJA</cp:lastModifiedBy>
  <cp:revision>1</cp:revision>
  <dcterms:created xsi:type="dcterms:W3CDTF">2020-02-23T19:03:00Z</dcterms:created>
  <dcterms:modified xsi:type="dcterms:W3CDTF">2020-02-23T19:07:00Z</dcterms:modified>
</cp:coreProperties>
</file>